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Associate employment classification review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accepting an associate role and whenever the employer, pay arrangement, ownership, or setting changes.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cannot classify employment, resolve wage law, or approve a setting; obtain professional advice where facts conflict.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Name the legal employer</w:t>
            </w:r>
          </w:p>
          <w:p>
            <w:pPr>
              <w:spacing w:after="80"/>
            </w:pPr>
            <w:r>
              <w:t>Record the entity shown on the written offer and payroll records, not merely the brand name.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the setting type</w:t>
            </w:r>
          </w:p>
          <w:p>
            <w:pPr>
              <w:spacing w:after="80"/>
            </w:pPr>
            <w:r>
              <w:t>Describe where services occur and compare that fact with the current Board definitions.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compensation evidence</w:t>
            </w:r>
          </w:p>
          <w:p>
            <w:pPr>
              <w:spacing w:after="80"/>
            </w:pPr>
            <w:r>
              <w:t>Keep the offer, pay statements, and any written reimbursement or fee arrangement.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LMFT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the supervisor relationship</w:t>
            </w:r>
          </w:p>
          <w:p>
            <w:pPr>
              <w:spacing w:after="80"/>
            </w:pPr>
            <w:r>
              <w:t>Record how the supervisor is connected to the employer and who directs the work.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BBS: LCSW resources and forms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advertising and billing</w:t>
            </w:r>
          </w:p>
          <w:p>
            <w:pPr>
              <w:spacing w:after="80"/>
            </w:pPr>
            <w:r>
              <w:t>Record the name, title, registration, and entity used publicly and on client-facing material.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Escalate contradictions</w:t>
            </w:r>
          </w:p>
          <w:p>
            <w:pPr>
              <w:spacing w:after="80"/>
            </w:pPr>
            <w:r>
              <w:t>Stop relying on verbal assurances when the contract, payroll, setting, and supervision facts disagree.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LMFT resources and forms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statutes, regulations, and law changes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BBS: LCSW resources and forms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BBS: HIPAA, telehealth, advertising, and notices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resources/lmft.html" TargetMode="External"/><Relationship Id="rId12" Type="http://schemas.openxmlformats.org/officeDocument/2006/relationships/hyperlink" Target="https://www.bbs.ca.gov/about/law_reg.html" TargetMode="External"/><Relationship Id="rId13" Type="http://schemas.openxmlformats.org/officeDocument/2006/relationships/hyperlink" Target="https://www.bbs.ca.gov/resources/lcsw.html" TargetMode="External"/><Relationship Id="rId14" Type="http://schemas.openxmlformats.org/officeDocument/2006/relationships/hyperlink" Target="https://www.bbs.ca.gov/licensees/hipa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 employment classification review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