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Client communication channel inventory</w:t>
      </w:r>
    </w:p>
    <w:p>
      <w:pPr>
        <w:spacing w:after="280"/>
      </w:pPr>
      <w:r>
        <w:rPr>
          <w:rFonts w:ascii="Calibri" w:hAnsi="Calibri"/>
          <w:b w:val="0"/>
          <w:i/>
          <w:color w:val="5F625F"/>
          <w:sz w:val="22"/>
        </w:rPr>
        <w:t>A practical California working record - editable in Word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4680"/>
        <w:gridCol w:w="4680"/>
      </w:tblGrid>
      <w:tr>
        <w:trPr>
          <w:cantSplit/>
        </w:trPr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USE IT THIS WAY</w:t>
            </w:r>
          </w:p>
          <w:p>
            <w:pPr>
              <w:spacing w:after="0"/>
            </w:pPr>
            <w:r>
              <w:t>Use before enabling email, text, portal, voicemail, video, forms, or automated reminders.</w:t>
            </w:r>
          </w:p>
        </w:tc>
        <w:tc>
          <w:tcPr>
            <w:tcW w:type="dxa" w:w="468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7"/>
              </w:rPr>
              <w:t>DO NOT MISTAKE IT FOR THIS</w:t>
            </w:r>
          </w:p>
          <w:p>
            <w:pPr>
              <w:spacing w:after="0"/>
            </w:pPr>
            <w:r>
              <w:t>This does not certify a channel as secure or obtain client consent for a particular use.</w:t>
            </w:r>
          </w:p>
        </w:tc>
      </w:tr>
    </w:tbl>
    <w:p/>
    <w:p>
      <w:pPr>
        <w:pStyle w:val="Heading1"/>
      </w:pPr>
      <w:r>
        <w:t>Working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Prepared by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Reference (no names)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Date opened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Next review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r>
        <w:br w:type="page"/>
      </w:r>
    </w:p>
    <w:p>
      <w:pPr>
        <w:pStyle w:val="Heading1"/>
      </w:pPr>
      <w:r>
        <w:t>Six review points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1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Inventory channels and owners</w:t>
            </w:r>
          </w:p>
          <w:p>
            <w:pPr>
              <w:spacing w:after="80"/>
            </w:pPr>
            <w:r>
              <w:t>Record each system, account owner, vendor, devices, integrations, and backup route.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2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Define permitted content</w:t>
            </w:r>
          </w:p>
          <w:p>
            <w:pPr>
              <w:spacing w:after="80"/>
            </w:pPr>
            <w:r>
              <w:t>State what may and may not be sent through each channel and how identity is checked.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3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Map vendor obligations</w:t>
            </w:r>
          </w:p>
          <w:p>
            <w:pPr>
              <w:spacing w:after="80"/>
            </w:pPr>
            <w:r>
              <w:t>Record agreement status, settings, retention, subprocessors, and incident terms.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3">
              <w:r>
                <w:rPr>
                  <w:color w:val="2C6350"/>
                  <w:u w:val="single"/>
                </w:rPr>
                <w:t>HHS: business associates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4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Set client expectations</w:t>
            </w:r>
          </w:p>
          <w:p>
            <w:pPr>
              <w:spacing w:after="80"/>
            </w:pPr>
            <w:r>
              <w:t>Align consent, response time, emergencies, opt-outs, shared devices, and message retention with actual practice.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2">
              <w:r>
                <w:rPr>
                  <w:color w:val="2C6350"/>
                  <w:u w:val="single"/>
                </w:rPr>
                <w:t>HHS: Privacy Rule guidance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5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Plan misdelivery and outage response</w:t>
            </w:r>
          </w:p>
          <w:p>
            <w:pPr>
              <w:spacing w:after="80"/>
            </w:pPr>
            <w:r>
              <w:t>Record containment, alternate contact, escalation, and documentation steps.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4">
              <w:r>
                <w:rPr>
                  <w:color w:val="2C6350"/>
                  <w:u w:val="single"/>
                </w:rPr>
                <w:t>HHS: Breach Notification Rule</w:t>
              </w:r>
            </w:hyperlink>
          </w:p>
        </w:tc>
      </w:tr>
    </w:tbl>
    <w:p>
      <w:pPr>
        <w:spacing w:after="2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620"/>
        <w:gridCol w:w="8740"/>
      </w:tblGrid>
      <w:tr>
        <w:trPr>
          <w:cantSplit/>
        </w:trPr>
        <w:tc>
          <w:tcPr>
            <w:tcW w:type="dxa" w:w="62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2C6350"/>
          </w:tcPr>
          <w:p>
            <w:pPr>
              <w:jc w:val="center"/>
            </w:pPr>
            <w:r>
              <w:rPr>
                <w:rFonts w:ascii="Calibri" w:hAnsi="Calibri"/>
                <w:b/>
                <w:i w:val="0"/>
                <w:color w:val="FFFFFF"/>
                <w:sz w:val="30"/>
              </w:rPr>
              <w:t>6</w:t>
            </w:r>
          </w:p>
        </w:tc>
        <w:tc>
          <w:tcPr>
            <w:tcW w:type="dxa" w:w="874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>
              <w:rPr>
                <w:rFonts w:ascii="Calibri" w:hAnsi="Calibri"/>
                <w:b/>
                <w:i w:val="0"/>
                <w:color w:val="17271F"/>
                <w:sz w:val="22"/>
              </w:rPr>
              <w:t>[ ]  Test with fictional data</w:t>
            </w:r>
          </w:p>
          <w:p>
            <w:pPr>
              <w:spacing w:after="80"/>
            </w:pPr>
            <w:r>
              <w:t>Verify sender identity, notifications, previews, routing, accessibility, and deletion without exposing real client information.</w:t>
            </w:r>
          </w:p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 xml:space="preserve">Your record: </w:t>
            </w:r>
            <w:r>
              <w:rPr>
                <w:rFonts w:ascii="Calibri" w:hAnsi="Calibri"/>
                <w:b w:val="0"/>
                <w:i w:val="0"/>
                <w:color w:val="5F625F"/>
                <w:sz w:val="18"/>
              </w:rPr>
              <w:t>________________________________________________________________</w:t>
            </w:r>
          </w:p>
          <w:p>
            <w:r>
              <w:rPr>
                <w:rFonts w:ascii="Calibri" w:hAnsi="Calibri"/>
                <w:b/>
                <w:i w:val="0"/>
                <w:color w:val="5F625F"/>
                <w:sz w:val="17"/>
              </w:rPr>
              <w:t xml:space="preserve">Source: </w:t>
            </w:r>
            <w:hyperlink r:id="rId11">
              <w:r>
                <w:rPr>
                  <w:color w:val="2C6350"/>
                  <w:u w:val="single"/>
                </w:rPr>
                <w:t>HHS: Security Rule guidance</w:t>
              </w:r>
            </w:hyperlink>
          </w:p>
        </w:tc>
      </w:tr>
    </w:tbl>
    <w:p>
      <w:pPr>
        <w:spacing w:after="20"/>
      </w:pPr>
    </w:p>
    <w:p>
      <w:pPr>
        <w:pStyle w:val="Heading1"/>
      </w:pPr>
      <w:r>
        <w:t>Close the loop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Layout w:type="fixed"/>
        <w:tblInd w:w="120" w:type="dxa"/>
      </w:tblPr>
      <w:tblGrid>
        <w:gridCol w:w="2400"/>
        <w:gridCol w:w="6960"/>
      </w:tblGrid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Decision / next action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Owner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  <w:tr>
        <w:trPr>
          <w:cantSplit/>
        </w:trPr>
        <w:tc>
          <w:tcPr>
            <w:tcW w:type="dxa" w:w="240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  <w:shd w:fill="F4F0E6"/>
          </w:tcPr>
          <w:p>
            <w:r>
              <w:rPr>
                <w:rFonts w:ascii="Calibri" w:hAnsi="Calibri"/>
                <w:b/>
                <w:i w:val="0"/>
                <w:color w:val="2C6350"/>
                <w:sz w:val="18"/>
              </w:rPr>
              <w:t>Due date</w:t>
            </w:r>
          </w:p>
        </w:tc>
        <w:tc>
          <w:tcPr>
            <w:tcW w:type="dxa" w:w="6960"/>
            <w:vAlign w:val="center"/>
            <w:tcMar>
              <w:top w:w="100" w:type="dxa"/>
              <w:bottom w:w="100" w:type="dxa"/>
              <w:start w:w="120" w:type="dxa"/>
              <w:end w:w="120" w:type="dxa"/>
            </w:tcMar>
          </w:tcPr>
          <w:p>
            <w:r/>
          </w:p>
        </w:tc>
      </w:tr>
    </w:tbl>
    <w:p>
      <w:pPr>
        <w:pStyle w:val="Heading1"/>
      </w:pPr>
      <w:r>
        <w:t>Controlling sources</w:t>
      </w:r>
    </w:p>
    <w:p>
      <w:pPr>
        <w:pStyle w:val="ListBullet"/>
      </w:pPr>
      <w:hyperlink r:id="rId11">
        <w:r>
          <w:rPr>
            <w:color w:val="2C6350"/>
            <w:u w:val="single"/>
          </w:rPr>
          <w:t>HHS: Security Rule guidance</w:t>
        </w:r>
      </w:hyperlink>
    </w:p>
    <w:p>
      <w:pPr>
        <w:pStyle w:val="ListBullet"/>
      </w:pPr>
      <w:hyperlink r:id="rId12">
        <w:r>
          <w:rPr>
            <w:color w:val="2C6350"/>
            <w:u w:val="single"/>
          </w:rPr>
          <w:t>HHS: Privacy Rule guidance</w:t>
        </w:r>
      </w:hyperlink>
    </w:p>
    <w:p>
      <w:pPr>
        <w:pStyle w:val="ListBullet"/>
      </w:pPr>
      <w:hyperlink r:id="rId13">
        <w:r>
          <w:rPr>
            <w:color w:val="2C6350"/>
            <w:u w:val="single"/>
          </w:rPr>
          <w:t>HHS: business associates</w:t>
        </w:r>
      </w:hyperlink>
    </w:p>
    <w:p>
      <w:pPr>
        <w:pStyle w:val="ListBullet"/>
      </w:pPr>
      <w:hyperlink r:id="rId14">
        <w:r>
          <w:rPr>
            <w:color w:val="2C6350"/>
            <w:u w:val="single"/>
          </w:rPr>
          <w:t>HHS: Breach Notification Rule</w:t>
        </w:r>
      </w:hyperlink>
    </w:p>
    <w:p>
      <w:pPr>
        <w:spacing w:before="200"/>
      </w:pPr>
      <w:r>
        <w:rPr>
          <w:rFonts w:ascii="Calibri" w:hAnsi="Calibri"/>
          <w:b/>
          <w:i w:val="0"/>
          <w:color w:val="17271F"/>
          <w:sz w:val="18"/>
        </w:rPr>
        <w:t xml:space="preserve">Educational information only. </w:t>
      </w:r>
      <w:r>
        <w:rPr>
          <w:rFonts w:ascii="Calibri" w:hAnsi="Calibri"/>
          <w:b w:val="0"/>
          <w:i w:val="0"/>
          <w:color w:val="5F625F"/>
          <w:sz w:val="18"/>
        </w:rPr>
        <w:t>Not legal, clinical, tax, billing, or regulatory advice. Recheck every source before relying on an older saved copy. Do not put client-identifying information in a copy you cannot secure.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b w:val="0"/>
        <w:i w:val="0"/>
        <w:color w:val="5F625F"/>
        <w:sz w:val="16"/>
      </w:rPr>
      <w:t xml:space="preserve">Edition 1.0  /  Reviewed 28 August 2026  /  Page </w:t>
    </w:r>
    <w:r/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Calibri" w:hAnsi="Calibri"/>
        <w:b/>
        <w:i w:val="0"/>
        <w:color w:val="2C6350"/>
        <w:sz w:val="17"/>
      </w:rPr>
      <w:t>THERAPIST SUPPORT  /  THE VAULT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00" w:lineRule="auto"/>
    </w:pPr>
    <w:rPr>
      <w:rFonts w:ascii="Calibri" w:hAnsi="Calibri"/>
      <w:color w:val="1727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 Light" w:hAnsi="Calibri Light"/>
      <w:b/>
      <w:bCs/>
      <w:color w:val="2C635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 Light" w:hAnsi="Calibri Light"/>
      <w:b/>
      <w:bCs/>
      <w:color w:val="17271F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 w:val="0"/>
      <w:pBdr>
        <w:bottom w:val="single" w:sz="8" w:space="4" w:color="4F81BD" w:themeColor="accent1"/>
      </w:pBdr>
      <w:spacing w:after="160" w:line="240" w:lineRule="auto" w:before="0"/>
      <w:ind w:left="0" w:right="0"/>
      <w:contextualSpacing/>
    </w:pPr>
    <w:rPr>
      <w:rFonts w:asciiTheme="majorHAnsi" w:eastAsiaTheme="majorEastAsia" w:hAnsiTheme="majorHAnsi" w:cstheme="majorBidi" w:ascii="Calibri Light" w:hAnsi="Calibri Light"/>
      <w:b/>
      <w:color w:val="17271F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www.hhs.gov/hipaa/for-professionals/security/index.html" TargetMode="External"/><Relationship Id="rId12" Type="http://schemas.openxmlformats.org/officeDocument/2006/relationships/hyperlink" Target="https://www.hhs.gov/hipaa/for-professionals/privacy/index.html" TargetMode="External"/><Relationship Id="rId13" Type="http://schemas.openxmlformats.org/officeDocument/2006/relationships/hyperlink" Target="https://www.hhs.gov/hipaa/for-professionals/privacy/guidance/business-associates/index.html" TargetMode="External"/><Relationship Id="rId14" Type="http://schemas.openxmlformats.org/officeDocument/2006/relationships/hyperlink" Target="https://www.hhs.gov/hipaa/for-professionals/breach-notification/index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communication channel inventory</dc:title>
  <dc:subject>Therapist Support Vault resource, edition 1.0</dc:subject>
  <dc:creator>Therapist Support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