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Credentialing submission tracker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for each payer or enrollment channel from the first submission through confirmed effective status.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cannot establish enrollment, network status, effective date, or authority to bill.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Define the exact enrollment target</w:t>
            </w:r>
          </w:p>
          <w:p>
            <w:pPr>
              <w:spacing w:after="80"/>
            </w:pPr>
            <w:r>
              <w:t>Record payer, product, network, location, tax entity, rendering provider, and requested effective date.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CMS: provider enrollment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Inventory submitted facts</w:t>
            </w:r>
          </w:p>
          <w:p>
            <w:pPr>
              <w:spacing w:after="80"/>
            </w:pPr>
            <w:r>
              <w:t>List applications, attestations, licenses, insurance, education, work history, ownership, and banking materials.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CMS: provider enrollment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Record every transmission</w:t>
            </w:r>
          </w:p>
          <w:p>
            <w:pPr>
              <w:spacing w:after="80"/>
            </w:pPr>
            <w:r>
              <w:t>Keep date, channel, confirmation, reference number, and a copy of what was sent.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HHS: Security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Track deficiencies and corrections</w:t>
            </w:r>
          </w:p>
          <w:p>
            <w:pPr>
              <w:spacing w:after="80"/>
            </w:pPr>
            <w:r>
              <w:t>Record the request, source, due date, response, and resulting status without relying on portal memory.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CMS: provider enrollment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Separate approval milestones</w:t>
            </w:r>
          </w:p>
          <w:p>
            <w:pPr>
              <w:spacing w:after="80"/>
            </w:pPr>
            <w:r>
              <w:t>Distinguish credentialing, contracting, network assignment, directory listing, and billing-effective status.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CMS: provider enrollment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Verify before billing</w:t>
            </w:r>
          </w:p>
          <w:p>
            <w:pPr>
              <w:spacing w:after="80"/>
            </w:pPr>
            <w:r>
              <w:t>Preserve the written effective status and applicable contract terms used for the first claim.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CMS: provider enrollment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CMS: provider enrollment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HHS: Security Rule guidance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cms.gov/medicare/enrollment-renewal/providers-suppliers" TargetMode="External"/><Relationship Id="rId12" Type="http://schemas.openxmlformats.org/officeDocument/2006/relationships/hyperlink" Target="https://www.hhs.gov/hipaa/for-professionals/security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Credentialing submission tracker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