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Fee change rollout plan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announcing a fee change or altering a sliding-scale, package, or recurring-care assumption.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select a fee, determine contract rights, or create client-specific financial advice.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Define what changes</w:t>
            </w:r>
          </w:p>
          <w:p>
            <w:pPr>
              <w:spacing w:after="80"/>
            </w:pPr>
            <w:r>
              <w:t>Record affected services, clients, effective dates, exceptions, and the business basis for the decision.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Review existing agreements</w:t>
            </w:r>
          </w:p>
          <w:p>
            <w:pPr>
              <w:spacing w:after="80"/>
            </w:pPr>
            <w:r>
              <w:t>Identify notice periods, payer terms, employee or contractor arrangements, and other written constraints.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CMS: No Surprises Act provider resources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Update estimate workflows</w:t>
            </w:r>
          </w:p>
          <w:p>
            <w:pPr>
              <w:spacing w:after="80"/>
            </w:pPr>
            <w:r>
              <w:t>Determine which self-pay estimates must be revised and when they must be delivered.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CMS: No Surprises Act provider resources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Align every system</w:t>
            </w:r>
          </w:p>
          <w:p>
            <w:pPr>
              <w:spacing w:after="80"/>
            </w:pPr>
            <w:r>
              <w:t>Reconcile consent, website, scheduler, EHR, superbills, statements, payment tools, and internal scripts.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Plan individual communication</w:t>
            </w:r>
          </w:p>
          <w:p>
            <w:pPr>
              <w:spacing w:after="80"/>
            </w:pPr>
            <w:r>
              <w:t>Choose timing, channel, accessibility, and a route for questions without exposing client information.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Audit the first billing cycle</w:t>
            </w:r>
          </w:p>
          <w:p>
            <w:pPr>
              <w:spacing w:after="80"/>
            </w:pPr>
            <w:r>
              <w:t>Check charges, exceptions, estimates, receipts, and complaints against the approved plan.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IRS: recordkeeping for individuals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CMS: No Surprises Act provider resources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HHS: Privacy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rs.gov/businesses/small-businesses-self-employed/recordkeeping" TargetMode="External"/><Relationship Id="rId12" Type="http://schemas.openxmlformats.org/officeDocument/2006/relationships/hyperlink" Target="https://www.cms.gov/medical-bill-rights/help/guides/provider-requirements-and-resources" TargetMode="External"/><Relationship Id="rId13" Type="http://schemas.openxmlformats.org/officeDocument/2006/relationships/hyperlink" Target="https://www.hhs.gov/hipaa/for-professionals/privac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 change rollout plan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