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Informed consent annual review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annually and after a law, service, platform, fee, location, or practice-ownership change.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consent language and cannot determine what disclosures your particular practice requires.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every client-facing document</w:t>
            </w:r>
          </w:p>
          <w:p>
            <w:pPr>
              <w:spacing w:after="80"/>
            </w:pPr>
            <w:r>
              <w:t>List the consent, notices, policies, and acknowledgments currently used and their revision dates.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identity and license notices</w:t>
            </w:r>
          </w:p>
          <w:p>
            <w:pPr>
              <w:spacing w:after="80"/>
            </w:pPr>
            <w:r>
              <w:t>Compare practitioner names, titles, licenses, and required consumer notices with current Board guidance.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services and modalities</w:t>
            </w:r>
          </w:p>
          <w:p>
            <w:pPr>
              <w:spacing w:after="80"/>
            </w:pPr>
            <w:r>
              <w:t>Confirm the documents describe what you actually offer, including telehealth and communication channels.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fees and cancellation terms</w:t>
            </w:r>
          </w:p>
          <w:p>
            <w:pPr>
              <w:spacing w:after="80"/>
            </w:pPr>
            <w:r>
              <w:t>Compare stated amounts and policies with scheduling, billing, and Good Faith Estimate workflows.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CMS: No Surprises Act provider resources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privacy boundaries</w:t>
            </w:r>
          </w:p>
          <w:p>
            <w:pPr>
              <w:spacing w:after="80"/>
            </w:pPr>
            <w:r>
              <w:t>Map the notice language to actual uses, disclosures, vendors, and client rights.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delivery evidence</w:t>
            </w:r>
          </w:p>
          <w:p>
            <w:pPr>
              <w:spacing w:after="80"/>
            </w:pPr>
            <w:r>
              <w:t>Record version, delivery method, acknowledgment, and the plan for issuing revised terms.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statutes, regulations, and law changes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HIPAA, telehealth, advertising, and notices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CMS: No Surprises Act provider resources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HHS: Privacy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about/law_reg.html" TargetMode="External"/><Relationship Id="rId12" Type="http://schemas.openxmlformats.org/officeDocument/2006/relationships/hyperlink" Target="https://www.bbs.ca.gov/licensees/hipaa.html" TargetMode="External"/><Relationship Id="rId13" Type="http://schemas.openxmlformats.org/officeDocument/2006/relationships/hyperlink" Target="https://www.cms.gov/medical-bill-rights/help/guides/provider-requirements-and-resources" TargetMode="External"/><Relationship Id="rId14" Type="http://schemas.openxmlformats.org/officeDocument/2006/relationships/hyperlink" Target="https://www.hhs.gov/hipaa/for-professionals/privac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consent annual review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