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License renewal and CE audit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Start early in a two-year license cycle and complete before certifying renewal compliance.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cannot decide whether a particular course, provider, waiver, or exemption qualifies.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Confirm the renewal window</w:t>
            </w:r>
          </w:p>
          <w:p>
            <w:pPr>
              <w:spacing w:after="80"/>
            </w:pPr>
            <w:r>
              <w:t>Record the license expiration and the dates defining the current renewal period.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manage a license or registration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Total all accepted hours</w:t>
            </w:r>
          </w:p>
          <w:p>
            <w:pPr>
              <w:spacing w:after="80"/>
            </w:pPr>
            <w:r>
              <w:t>List each course separately and reconcile the total against current Board requirements.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continuing education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Separate recurring topics</w:t>
            </w:r>
          </w:p>
          <w:p>
            <w:pPr>
              <w:spacing w:after="80"/>
            </w:pPr>
            <w:r>
              <w:t>Identify law-and-ethics work and any other topic required each renewal.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continuing education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one-time requirements</w:t>
            </w:r>
          </w:p>
          <w:p>
            <w:pPr>
              <w:spacing w:after="80"/>
            </w:pPr>
            <w:r>
              <w:t>Record whether telehealth, suicide-risk, or other current one-time requirements apply and how they were satisfied.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continuing education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Verify providers and evidence</w:t>
            </w:r>
          </w:p>
          <w:p>
            <w:pPr>
              <w:spacing w:after="80"/>
            </w:pPr>
            <w:r>
              <w:t>Keep the Board-accepted-provider basis and completion certificate for each course.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continuing education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Certify only after reconciliation</w:t>
            </w:r>
          </w:p>
          <w:p>
            <w:pPr>
              <w:spacing w:after="80"/>
            </w:pPr>
            <w:r>
              <w:t>Resolve gaps before submitting and retain the audit with the underlying certificates.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manage a license or registration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manage a license or registration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continuing education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licensees/manage.html" TargetMode="External"/><Relationship Id="rId12" Type="http://schemas.openxmlformats.org/officeDocument/2006/relationships/hyperlink" Target="https://www.bbs.ca.gov/licensees/cont_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License renewal and CE audit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