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Licensure application packet inventory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after choosing the exact in-state or out-of-state pathway and before paying or mailing anything.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determine eligibility or replace the current application instructions.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Choose one license path</w:t>
            </w:r>
          </w:p>
          <w:p>
            <w:pPr>
              <w:spacing w:after="80"/>
            </w:pPr>
            <w:r>
              <w:t>Record LMFT, LCSW, or LPCC and whether the current Board instructions treat the application as in-state or out-of-state.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Board forms</w:t>
            </w:r>
          </w:p>
          <w:p>
            <w:pPr>
              <w:spacing w:after="80"/>
            </w:pPr>
            <w:r>
              <w:t>List each required current form by name, revision date, signer, and completion status.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LCSW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third-party records</w:t>
            </w:r>
          </w:p>
          <w:p>
            <w:pPr>
              <w:spacing w:after="80"/>
            </w:pPr>
            <w:r>
              <w:t>Track transcripts, verifications, fingerprints, exam records, and any materials another organization must send.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BBS: LPCC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Trace experience totals</w:t>
            </w:r>
          </w:p>
          <w:p>
            <w:pPr>
              <w:spacing w:after="80"/>
            </w:pPr>
            <w:r>
              <w:t>Tie application totals to signed source records and explain every adjustment.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fees and delivery</w:t>
            </w:r>
          </w:p>
          <w:p>
            <w:pPr>
              <w:spacing w:after="80"/>
            </w:pPr>
            <w:r>
              <w:t>Confirm the current fee, payment method, online or paper route, and address directly from the Board.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BBS: manage a license or registration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Keep a submission copy</w:t>
            </w:r>
          </w:p>
          <w:p>
            <w:pPr>
              <w:spacing w:after="80"/>
            </w:pPr>
            <w:r>
              <w:t>Preserve the entire packet, payment evidence, and delivery confirmation without relying on an email inbox alone.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BBS: manage a license or registration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LMFT resources and forms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LCSW resources and forms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BBS: LPCC resources and forms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BBS: manage a license or registration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resources/lmft.html" TargetMode="External"/><Relationship Id="rId12" Type="http://schemas.openxmlformats.org/officeDocument/2006/relationships/hyperlink" Target="https://www.bbs.ca.gov/resources/lcsw.html" TargetMode="External"/><Relationship Id="rId13" Type="http://schemas.openxmlformats.org/officeDocument/2006/relationships/hyperlink" Target="https://www.bbs.ca.gov/resources/lpcc.html" TargetMode="External"/><Relationship Id="rId14" Type="http://schemas.openxmlformats.org/officeDocument/2006/relationships/hyperlink" Target="https://www.bbs.ca.gov/licensees/manag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Licensure application packet inventory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