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Therapy office lease due diligence</w:t>
      </w:r>
    </w:p>
    <w:p>
      <w:pPr>
        <w:spacing w:after="280"/>
      </w:pPr>
      <w:r>
        <w:rPr>
          <w:rFonts w:ascii="Calibri" w:hAnsi="Calibri"/>
          <w:b w:val="0"/>
          <w:i/>
          <w:color w:val="5F625F"/>
          <w:sz w:val="22"/>
        </w:rPr>
        <w:t>A practical California working record - editable in Word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USE IT THIS WAY</w:t>
            </w:r>
          </w:p>
          <w:p>
            <w:pPr>
              <w:spacing w:after="0"/>
            </w:pPr>
            <w:r>
              <w:t>Use while comparing written lease or sublease terms and before signing or renewing.</w:t>
            </w:r>
          </w:p>
        </w:tc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DO NOT MISTAKE IT FOR THIS</w:t>
            </w:r>
          </w:p>
          <w:p>
            <w:pPr>
              <w:spacing w:after="0"/>
            </w:pPr>
            <w:r>
              <w:t>This is not legal advice, a lease review, or a finding that the room complies with accessibility, privacy, zoning, or building rules.</w:t>
            </w:r>
          </w:p>
        </w:tc>
      </w:tr>
    </w:tbl>
    <w:p/>
    <w:p>
      <w:pPr>
        <w:pStyle w:val="Heading1"/>
      </w:pPr>
      <w:r>
        <w:t>Working record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Prepared by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Reference (no names)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Date opened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Next review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Six review points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1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Calculate the full occupancy cost</w:t>
            </w:r>
          </w:p>
          <w:p>
            <w:pPr>
              <w:spacing w:after="80"/>
            </w:pPr>
            <w:r>
              <w:t>Record base rent, deposits, utilities, shared charges, increases, insurance, furnishings, and restoration obligations.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IRS: recordkeeping for individuals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2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Confirm permitted use in writing</w:t>
            </w:r>
          </w:p>
          <w:p>
            <w:pPr>
              <w:spacing w:after="80"/>
            </w:pPr>
            <w:r>
              <w:t>Identify the exact therapy use, hours, visitors, signage, telehealth, group work, and subletting allowed.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ADA.gov: guidance for businesses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3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Test sound and arrival privacy</w:t>
            </w:r>
          </w:p>
          <w:p>
            <w:pPr>
              <w:spacing w:after="80"/>
            </w:pPr>
            <w:r>
              <w:t>Observe adjacent rooms, corridors, waiting, check-in, conversations, doors, and shared calendars during realistic use.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3">
              <w:r>
                <w:rPr>
                  <w:color w:val="2C6350"/>
                  <w:u w:val="single"/>
                </w:rPr>
                <w:t>HHS: Privacy Rule guidance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4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Walk accessibility facts</w:t>
            </w:r>
          </w:p>
          <w:p>
            <w:pPr>
              <w:spacing w:after="80"/>
            </w:pPr>
            <w:r>
              <w:t>Record the client route and building-controlled barriers; obtain professional review where needed.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ADA.gov: guidance for businesses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5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Map operations and outages</w:t>
            </w:r>
          </w:p>
          <w:p>
            <w:pPr>
              <w:spacing w:after="80"/>
            </w:pPr>
            <w:r>
              <w:t>Clarify keys, internet, cleaning, mail, safety, repairs, emergency access, and building closures.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4">
              <w:r>
                <w:rPr>
                  <w:color w:val="2C6350"/>
                  <w:u w:val="single"/>
                </w:rPr>
                <w:t>HHS: Security Rule guidance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6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Read exit and transfer terms</w:t>
            </w:r>
          </w:p>
          <w:p>
            <w:pPr>
              <w:spacing w:after="80"/>
            </w:pPr>
            <w:r>
              <w:t>Record notice, renewal, assignment, sublease, default, damage, and data or property removal provisions.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IRS: recordkeeping for individuals</w:t>
              </w:r>
            </w:hyperlink>
          </w:p>
        </w:tc>
      </w:tr>
    </w:tbl>
    <w:p>
      <w:pPr>
        <w:spacing w:after="20"/>
      </w:pPr>
    </w:p>
    <w:p>
      <w:pPr>
        <w:pStyle w:val="Heading1"/>
      </w:pPr>
      <w:r>
        <w:t>Close the loop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Decision / next action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Owner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Due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pPr>
        <w:pStyle w:val="Heading1"/>
      </w:pPr>
      <w:r>
        <w:t>Controlling sources</w:t>
      </w:r>
    </w:p>
    <w:p>
      <w:pPr>
        <w:pStyle w:val="ListBullet"/>
      </w:pPr>
      <w:hyperlink r:id="rId11">
        <w:r>
          <w:rPr>
            <w:color w:val="2C6350"/>
            <w:u w:val="single"/>
          </w:rPr>
          <w:t>IRS: recordkeeping for individuals</w:t>
        </w:r>
      </w:hyperlink>
    </w:p>
    <w:p>
      <w:pPr>
        <w:pStyle w:val="ListBullet"/>
      </w:pPr>
      <w:hyperlink r:id="rId12">
        <w:r>
          <w:rPr>
            <w:color w:val="2C6350"/>
            <w:u w:val="single"/>
          </w:rPr>
          <w:t>ADA.gov: guidance for businesses</w:t>
        </w:r>
      </w:hyperlink>
    </w:p>
    <w:p>
      <w:pPr>
        <w:pStyle w:val="ListBullet"/>
      </w:pPr>
      <w:hyperlink r:id="rId13">
        <w:r>
          <w:rPr>
            <w:color w:val="2C6350"/>
            <w:u w:val="single"/>
          </w:rPr>
          <w:t>HHS: Privacy Rule guidance</w:t>
        </w:r>
      </w:hyperlink>
    </w:p>
    <w:p>
      <w:pPr>
        <w:pStyle w:val="ListBullet"/>
      </w:pPr>
      <w:hyperlink r:id="rId14">
        <w:r>
          <w:rPr>
            <w:color w:val="2C6350"/>
            <w:u w:val="single"/>
          </w:rPr>
          <w:t>HHS: Security Rule guidance</w:t>
        </w:r>
      </w:hyperlink>
    </w:p>
    <w:p>
      <w:pPr>
        <w:spacing w:before="200"/>
      </w:pPr>
      <w:r>
        <w:rPr>
          <w:rFonts w:ascii="Calibri" w:hAnsi="Calibri"/>
          <w:b/>
          <w:i w:val="0"/>
          <w:color w:val="17271F"/>
          <w:sz w:val="18"/>
        </w:rPr>
        <w:t xml:space="preserve">Educational information only. </w:t>
      </w:r>
      <w:r>
        <w:rPr>
          <w:rFonts w:ascii="Calibri" w:hAnsi="Calibri"/>
          <w:b w:val="0"/>
          <w:i w:val="0"/>
          <w:color w:val="5F625F"/>
          <w:sz w:val="18"/>
        </w:rPr>
        <w:t>Not legal, clinical, tax, billing, or regulatory advice. Recheck every source before relying on an older saved copy. Do not put client-identifying information in a copy you cannot secure.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i w:val="0"/>
        <w:color w:val="5F625F"/>
        <w:sz w:val="16"/>
      </w:rPr>
      <w:t xml:space="preserve">Edition 1.0  /  Reviewed 28 August 2026  /  Page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i w:val="0"/>
        <w:color w:val="2C6350"/>
        <w:sz w:val="17"/>
      </w:rPr>
      <w:t>THERAPIST SUPPORT  /  THE VAULT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1727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 Light" w:hAnsi="Calibri Light"/>
      <w:b/>
      <w:bCs/>
      <w:color w:val="17271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pBdr>
        <w:bottom w:val="single" w:sz="8" w:space="4" w:color="4F81BD" w:themeColor="accent1"/>
      </w:pBdr>
      <w:spacing w:after="160" w:line="240" w:lineRule="auto" w:before="0"/>
      <w:ind w:left="0" w:right="0"/>
      <w:contextualSpacing/>
    </w:pPr>
    <w:rPr>
      <w:rFonts w:asciiTheme="majorHAnsi" w:eastAsiaTheme="majorEastAsia" w:hAnsiTheme="majorHAnsi" w:cstheme="majorBidi" w:ascii="Calibri Light" w:hAnsi="Calibri Light"/>
      <w:b/>
      <w:color w:val="17271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irs.gov/businesses/small-businesses-self-employed/recordkeeping" TargetMode="External"/><Relationship Id="rId12" Type="http://schemas.openxmlformats.org/officeDocument/2006/relationships/hyperlink" Target="https://www.ada.gov/topics/title-iii/" TargetMode="External"/><Relationship Id="rId13" Type="http://schemas.openxmlformats.org/officeDocument/2006/relationships/hyperlink" Target="https://www.hhs.gov/hipaa/for-professionals/privacy/index.html" TargetMode="External"/><Relationship Id="rId14" Type="http://schemas.openxmlformats.org/officeDocument/2006/relationships/hyperlink" Target="https://www.hhs.gov/hipaa/for-professionals/security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Therapy office lease due diligence</dc:title>
  <dc:subject>Therapist Support Vault resource, edition 1.0</dc:subject>
  <dc:creator>Therapist Support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