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Practice closure and records handoff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for planned closure, extended incapacity, retirement, relocation, or activation of a professional will.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a professional will, client termination plan, or legal determination of records custody.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Define the closure facts</w:t>
            </w:r>
          </w:p>
          <w:p>
            <w:pPr>
              <w:spacing w:after="80"/>
            </w:pPr>
            <w:r>
              <w:t>Record effective dates, services affected, responsible people, and whether the interruption is temporary or permanent.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Plan client continuity</w:t>
            </w:r>
          </w:p>
          <w:p>
            <w:pPr>
              <w:spacing w:after="80"/>
            </w:pPr>
            <w:r>
              <w:t>Document notice routes, emergency information, transition choices, and clinical review responsibilities.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Assign records custody</w:t>
            </w:r>
          </w:p>
          <w:p>
            <w:pPr>
              <w:spacing w:after="80"/>
            </w:pPr>
            <w:r>
              <w:t>Record who will maintain access, respond to requests, protect records, and act after the practice closes.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California Health and Safety Code section 123145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Close vendor pathways</w:t>
            </w:r>
          </w:p>
          <w:p>
            <w:pPr>
              <w:spacing w:after="80"/>
            </w:pPr>
            <w:r>
              <w:t>Inventory EHR, phone, email, billing, payment, storage, and website obligations before accounts disappear.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HHS: business associates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Update public information</w:t>
            </w:r>
          </w:p>
          <w:p>
            <w:pPr>
              <w:spacing w:after="80"/>
            </w:pPr>
            <w:r>
              <w:t>Correct websites, directories, voicemail, office signage, and license-related information.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Preserve the closure file</w:t>
            </w:r>
          </w:p>
          <w:p>
            <w:pPr>
              <w:spacing w:after="80"/>
            </w:pPr>
            <w:r>
              <w:t>Keep decisions, notices, delivery evidence, contracts, and advice relied upon in one secured record.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California Health and Safety Code section 123145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BBS: statutes, regulations, and law changes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California Health and Safety Code section 123145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HHS: business associates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BBS: HIPAA, telehealth, advertising, and notices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bs.ca.gov/about/law_reg.html" TargetMode="External"/><Relationship Id="rId12" Type="http://schemas.openxmlformats.org/officeDocument/2006/relationships/hyperlink" Target="https://leginfo.legislature.ca.gov/faces/codes_displaySection.xhtml?sectionNum=123145.&amp;lawCode=HSC" TargetMode="External"/><Relationship Id="rId13" Type="http://schemas.openxmlformats.org/officeDocument/2006/relationships/hyperlink" Target="https://www.hhs.gov/hipaa/for-professionals/privacy/guidance/business-associates/index.html" TargetMode="External"/><Relationship Id="rId14" Type="http://schemas.openxmlformats.org/officeDocument/2006/relationships/hyperlink" Target="https://www.bbs.ca.gov/licensees/hipa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closure and records handoff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