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Practice emergency continuity plan</w:t>
      </w:r>
    </w:p>
    <w:p>
      <w:pPr>
        <w:spacing w:after="280"/>
      </w:pPr>
      <w:r>
        <w:rPr>
          <w:rFonts w:ascii="Calibri" w:hAnsi="Calibri"/>
          <w:b w:val="0"/>
          <w:i/>
          <w:color w:val="5F625F"/>
          <w:sz w:val="22"/>
        </w:rPr>
        <w:t>A practical California working record - editable in Word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USE IT THIS WAY</w:t>
            </w:r>
          </w:p>
          <w:p>
            <w:pPr>
              <w:spacing w:after="0"/>
            </w:pPr>
            <w:r>
              <w:t>Use before an emergency and revisit after staffing, vendor, location, or communication changes.</w:t>
            </w:r>
          </w:p>
        </w:tc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DO NOT MISTAKE IT FOR THIS</w:t>
            </w:r>
          </w:p>
          <w:p>
            <w:pPr>
              <w:spacing w:after="0"/>
            </w:pPr>
            <w:r>
              <w:t>This is not a clinical safety plan, disaster-response protocol, or substitute for legal and insurance review.</w:t>
            </w:r>
          </w:p>
        </w:tc>
      </w:tr>
    </w:tbl>
    <w:p/>
    <w:p>
      <w:pPr>
        <w:pStyle w:val="Heading1"/>
      </w:pPr>
      <w:r>
        <w:t>Working record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Prepared by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Reference (no names)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Date opened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Next review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Six review points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1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Name continuity events</w:t>
            </w:r>
          </w:p>
          <w:p>
            <w:pPr>
              <w:spacing w:after="80"/>
            </w:pPr>
            <w:r>
              <w:t>List realistic events such as illness, evacuation, platform outage, phone loss, and sudden practice interruption.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HHS: Security Rule guidance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2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Map essential systems</w:t>
            </w:r>
          </w:p>
          <w:p>
            <w:pPr>
              <w:spacing w:after="80"/>
            </w:pPr>
            <w:r>
              <w:t>Record which systems hold scheduling, records, billing, and current contact routes.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HHS: Security Rule guidance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3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Assign limited access</w:t>
            </w:r>
          </w:p>
          <w:p>
            <w:pPr>
              <w:spacing w:after="80"/>
            </w:pPr>
            <w:r>
              <w:t>Document who may act, what they may access, and how authority is verified.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HHS: Privacy Rule guidance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4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Prepare client communication</w:t>
            </w:r>
          </w:p>
          <w:p>
            <w:pPr>
              <w:spacing w:after="80"/>
            </w:pPr>
            <w:r>
              <w:t>Draft channel-neutral instructions that disclose only what is necessary.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HHS: Privacy Rule guidance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5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Test recovery</w:t>
            </w:r>
          </w:p>
          <w:p>
            <w:pPr>
              <w:spacing w:after="80"/>
            </w:pPr>
            <w:r>
              <w:t>Run a tabletop check of backups, alternate contact, and restoration without using real client data.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HHS: Security Rule guidance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6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Record insurance and advice routes</w:t>
            </w:r>
          </w:p>
          <w:p>
            <w:pPr>
              <w:spacing w:after="80"/>
            </w:pPr>
            <w:r>
              <w:t>Keep current professional-liability, cyber, legal, and operational contacts outside the public copy.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3">
              <w:r>
                <w:rPr>
                  <w:color w:val="2C6350"/>
                  <w:u w:val="single"/>
                </w:rPr>
                <w:t>HHS: Breach Notification Rule</w:t>
              </w:r>
            </w:hyperlink>
          </w:p>
        </w:tc>
      </w:tr>
    </w:tbl>
    <w:p>
      <w:pPr>
        <w:spacing w:after="20"/>
      </w:pPr>
    </w:p>
    <w:p>
      <w:pPr>
        <w:pStyle w:val="Heading1"/>
      </w:pPr>
      <w:r>
        <w:t>Close the loop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Decision / next action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Owner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Due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pPr>
        <w:pStyle w:val="Heading1"/>
      </w:pPr>
      <w:r>
        <w:t>Controlling sources</w:t>
      </w:r>
    </w:p>
    <w:p>
      <w:pPr>
        <w:pStyle w:val="ListBullet"/>
      </w:pPr>
      <w:hyperlink r:id="rId11">
        <w:r>
          <w:rPr>
            <w:color w:val="2C6350"/>
            <w:u w:val="single"/>
          </w:rPr>
          <w:t>HHS: Security Rule guidance</w:t>
        </w:r>
      </w:hyperlink>
    </w:p>
    <w:p>
      <w:pPr>
        <w:pStyle w:val="ListBullet"/>
      </w:pPr>
      <w:hyperlink r:id="rId12">
        <w:r>
          <w:rPr>
            <w:color w:val="2C6350"/>
            <w:u w:val="single"/>
          </w:rPr>
          <w:t>HHS: Privacy Rule guidance</w:t>
        </w:r>
      </w:hyperlink>
    </w:p>
    <w:p>
      <w:pPr>
        <w:pStyle w:val="ListBullet"/>
      </w:pPr>
      <w:hyperlink r:id="rId13">
        <w:r>
          <w:rPr>
            <w:color w:val="2C6350"/>
            <w:u w:val="single"/>
          </w:rPr>
          <w:t>HHS: Breach Notification Rule</w:t>
        </w:r>
      </w:hyperlink>
    </w:p>
    <w:p>
      <w:pPr>
        <w:spacing w:before="200"/>
      </w:pPr>
      <w:r>
        <w:rPr>
          <w:rFonts w:ascii="Calibri" w:hAnsi="Calibri"/>
          <w:b/>
          <w:i w:val="0"/>
          <w:color w:val="17271F"/>
          <w:sz w:val="18"/>
        </w:rPr>
        <w:t xml:space="preserve">Educational information only. </w:t>
      </w:r>
      <w:r>
        <w:rPr>
          <w:rFonts w:ascii="Calibri" w:hAnsi="Calibri"/>
          <w:b w:val="0"/>
          <w:i w:val="0"/>
          <w:color w:val="5F625F"/>
          <w:sz w:val="18"/>
        </w:rPr>
        <w:t>Not legal, clinical, tax, billing, or regulatory advice. Recheck every source before relying on an older saved copy. Do not put client-identifying information in a copy you cannot secure.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5F625F"/>
        <w:sz w:val="16"/>
      </w:rPr>
      <w:t xml:space="preserve">Edition 1.0  /  Reviewed 28 August 2026  /  Page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i w:val="0"/>
        <w:color w:val="2C6350"/>
        <w:sz w:val="17"/>
      </w:rPr>
      <w:t>THERAPIST SUPPORT  /  THE VAULT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727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 Light" w:hAnsi="Calibri Light"/>
      <w:b/>
      <w:bCs/>
      <w:color w:val="17271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pBdr>
        <w:bottom w:val="single" w:sz="8" w:space="4" w:color="4F81BD" w:themeColor="accent1"/>
      </w:pBdr>
      <w:spacing w:after="160" w:line="240" w:lineRule="auto" w:before="0"/>
      <w:ind w:left="0" w:right="0"/>
      <w:contextualSpacing/>
    </w:pPr>
    <w:rPr>
      <w:rFonts w:asciiTheme="majorHAnsi" w:eastAsiaTheme="majorEastAsia" w:hAnsiTheme="majorHAnsi" w:cstheme="majorBidi" w:ascii="Calibri Light" w:hAnsi="Calibri Light"/>
      <w:b/>
      <w:color w:val="17271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hhs.gov/hipaa/for-professionals/security/index.html" TargetMode="External"/><Relationship Id="rId12" Type="http://schemas.openxmlformats.org/officeDocument/2006/relationships/hyperlink" Target="https://www.hhs.gov/hipaa/for-professionals/privacy/index.html" TargetMode="External"/><Relationship Id="rId13" Type="http://schemas.openxmlformats.org/officeDocument/2006/relationships/hyperlink" Target="https://www.hhs.gov/hipaa/for-professionals/breach-notification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Practice emergency continuity plan</dc:title>
  <dc:subject>Therapist Support Vault resource, edition 1.0</dc:subject>
  <dc:creator>Therapist Support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