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Privacy incident first-response record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Open immediately after suspected loss, misdelivery, unauthorized access, or another privacy or security event.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decide whether an event is a reportable breach or supply required notice language.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Preserve the first report</w:t>
            </w:r>
          </w:p>
          <w:p>
            <w:pPr>
              <w:spacing w:after="80"/>
            </w:pPr>
            <w:r>
              <w:t>Record when the event was discovered, by whom, and what was initially known without altering source evidence.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Contain without destroying evidence</w:t>
            </w:r>
          </w:p>
          <w:p>
            <w:pPr>
              <w:spacing w:after="80"/>
            </w:pPr>
            <w:r>
              <w:t>Stop continuing exposure where possible and record each containment action.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Identify information and people</w:t>
            </w:r>
          </w:p>
          <w:p>
            <w:pPr>
              <w:spacing w:after="80"/>
            </w:pPr>
            <w:r>
              <w:t>Document the types of information, systems, recipients, and potentially affected individuals.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Escalate to the right advisors</w:t>
            </w:r>
          </w:p>
          <w:p>
            <w:pPr>
              <w:spacing w:after="80"/>
            </w:pPr>
            <w:r>
              <w:t>Record insurer, privacy, legal, vendor, and law-enforcement contacts as appropriate to the facts.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California Civil Code section 1798.82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Calendar every possible deadline</w:t>
            </w:r>
          </w:p>
          <w:p>
            <w:pPr>
              <w:spacing w:after="80"/>
            </w:pPr>
            <w:r>
              <w:t>Track federal, California, contract, payer, and vendor notice paths until applicability is resolved.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Document the determination</w:t>
            </w:r>
          </w:p>
          <w:p>
            <w:pPr>
              <w:spacing w:after="80"/>
            </w:pPr>
            <w:r>
              <w:t>Preserve the analysis, mitigation, notices or basis for no notice, and corrective actions.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Breach Notification Rule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Security Rule guidance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California Civil Code section 1798.82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breach-notification/index.html" TargetMode="External"/><Relationship Id="rId12" Type="http://schemas.openxmlformats.org/officeDocument/2006/relationships/hyperlink" Target="https://www.hhs.gov/hipaa/for-professionals/security/index.html" TargetMode="External"/><Relationship Id="rId13" Type="http://schemas.openxmlformats.org/officeDocument/2006/relationships/hyperlink" Target="https://leginfo.legislature.ca.gov/faces/codes_displaySection.xhtml?sectionNum=1798.82.&amp;lawCode=C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incident first-response record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