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Record retention and destruction schedule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before adopting a retention policy and before any scheduled destruction cycle.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does not calculate the lawful retention period for a particular record or resolve litigation holds.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Inventory record classes</w:t>
            </w:r>
          </w:p>
          <w:p>
            <w:pPr>
              <w:spacing w:after="80"/>
            </w:pPr>
            <w:r>
              <w:t>Separate clinical, billing, consent, communication, supervision, personnel, and business records.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California Health and Safety Code section 123145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Record the controlling basis</w:t>
            </w:r>
          </w:p>
          <w:p>
            <w:pPr>
              <w:spacing w:after="80"/>
            </w:pPr>
            <w:r>
              <w:t>For each class, cite the current rule, contract, payer term, or professional advice supporting the period.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California Health and Safety Code section 123145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Identify special cases</w:t>
            </w:r>
          </w:p>
          <w:p>
            <w:pPr>
              <w:spacing w:after="80"/>
            </w:pPr>
            <w:r>
              <w:t>Flag minors, audits, disputes, subpoenas, holds, investigations, and other facts that may change ordinary handling.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BBS: statutes, regulations, and law changes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Map every copy</w:t>
            </w:r>
          </w:p>
          <w:p>
            <w:pPr>
              <w:spacing w:after="80"/>
            </w:pPr>
            <w:r>
              <w:t>Include EHR, email, backups, devices, paper, vendor exports, and duplicate working files.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Define secure destruction</w:t>
            </w:r>
          </w:p>
          <w:p>
            <w:pPr>
              <w:spacing w:after="80"/>
            </w:pPr>
            <w:r>
              <w:t>Match the method to the medium and preserve vendor or internal completion evidence.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Approve each cycle</w:t>
            </w:r>
          </w:p>
          <w:p>
            <w:pPr>
              <w:spacing w:after="80"/>
            </w:pPr>
            <w:r>
              <w:t>Record scope, authority, date, exceptions, and completion without listing client names in this worksheet.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4">
              <w:r>
                <w:rPr>
                  <w:color w:val="2C6350"/>
                  <w:u w:val="single"/>
                </w:rPr>
                <w:t>HHS: Privacy Rule guidance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California Health and Safety Code section 123145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BBS: statutes, regulations, and law changes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HHS: Security Rule guidance</w:t>
        </w:r>
      </w:hyperlink>
    </w:p>
    <w:p>
      <w:pPr>
        <w:pStyle w:val="ListBullet"/>
      </w:pPr>
      <w:hyperlink r:id="rId14">
        <w:r>
          <w:rPr>
            <w:color w:val="2C6350"/>
            <w:u w:val="single"/>
          </w:rPr>
          <w:t>HHS: Privacy Rule guidance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leginfo.legislature.ca.gov/faces/codes_displaySection.xhtml?sectionNum=123145.&amp;lawCode=HSC" TargetMode="External"/><Relationship Id="rId12" Type="http://schemas.openxmlformats.org/officeDocument/2006/relationships/hyperlink" Target="https://www.bbs.ca.gov/about/law_reg.html" TargetMode="External"/><Relationship Id="rId13" Type="http://schemas.openxmlformats.org/officeDocument/2006/relationships/hyperlink" Target="https://www.hhs.gov/hipaa/for-professionals/security/index.html" TargetMode="External"/><Relationship Id="rId14" Type="http://schemas.openxmlformats.org/officeDocument/2006/relationships/hyperlink" Target="https://www.hhs.gov/hipaa/for-professionals/privacy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retention and destruction schedule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