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records request response log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when a client or authorized representative asks to inspect or obtain their health record. Start a different workflow if what arrived is a subpoena, court order, or third-party demand.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decide authorization, privilege, withholding, or whether a summary should replace access. Those can require legal and clinical judgment.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Classify what arrived</w:t>
            </w:r>
          </w:p>
          <w:p>
            <w:pPr>
              <w:spacing w:after="80"/>
            </w:pPr>
            <w:r>
              <w:t>Record whether this is the client’s access request, an authorized-representative request, a subpoena, a court order, or something else. The deadlines and duties are not interchangeable.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Therapist Support: California client records guide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the request and receipt date</w:t>
            </w:r>
          </w:p>
          <w:p>
            <w:pPr>
              <w:spacing w:after="80"/>
            </w:pPr>
            <w:r>
              <w:t>Keep the written request and record when it arrived. California’s inspection and copy periods run from receipt.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California Health and Safety Code § 123110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Calendar inspection and copy deadlines separately</w:t>
            </w:r>
          </w:p>
          <w:p>
            <w:pPr>
              <w:spacing w:after="80"/>
            </w:pPr>
            <w:r>
              <w:t>Section 123110 permits inspection within five working days and requires copies within 15 days. Record both even if only one is currently requested.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California Health and Safety Code § 123110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the response path</w:t>
            </w:r>
          </w:p>
          <w:p>
            <w:pPr>
              <w:spacing w:after="80"/>
            </w:pPr>
            <w:r>
              <w:t>Choose and document inspection, copies, a section 123130 summary, or a carefully reviewed mental-health-record exception. Do not use this log as authority for the choice.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California Health and Safety Code § 123130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fees before collecting them</w:t>
            </w:r>
          </w:p>
          <w:p>
            <w:pPr>
              <w:spacing w:after="80"/>
            </w:pPr>
            <w:r>
              <w:t>Section 123110 caps ordinary paper-copy charges at 25 cents per page, plus reasonable clerical costs. Record the page count and basis.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California Health and Safety Code § 123110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Close the loop</w:t>
            </w:r>
          </w:p>
          <w:p>
            <w:pPr>
              <w:spacing w:after="80"/>
            </w:pPr>
            <w:r>
              <w:t>Record what was provided, how, to whom, and when; preserve any identity or authority verification and the clinical or legal basis for a non-routine response.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Therapist Support: California client records guide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Therapist Support: California client records guide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California Health and Safety Code § 123110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California Health and Safety Code § 123130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/client-records-california-therapist" TargetMode="External"/><Relationship Id="rId12" Type="http://schemas.openxmlformats.org/officeDocument/2006/relationships/hyperlink" Target="https://leginfo.legislature.ca.gov/faces/codes_displaySection.xhtml?lawCode=HSC&amp;sectionNum=123110." TargetMode="External"/><Relationship Id="rId13" Type="http://schemas.openxmlformats.org/officeDocument/2006/relationships/hyperlink" Target="https://leginfo.legislature.ca.gov/faces/codes_displaySection.xhtml?lawCode=HSC&amp;sectionNum=123130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records request response log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