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Small-practice security risk review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for a periodic risk-analysis cycle and after a material system, vendor, location, or workforce change.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 complete HIPAA risk analysis, penetration test, or certification of security.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electronic information</w:t>
            </w:r>
          </w:p>
          <w:p>
            <w:pPr>
              <w:spacing w:after="80"/>
            </w:pPr>
            <w:r>
              <w:t>Map devices, applications, accounts, networks, backups, removable media, and vendor systems.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Identify foreseeable threats</w:t>
            </w:r>
          </w:p>
          <w:p>
            <w:pPr>
              <w:spacing w:after="80"/>
            </w:pPr>
            <w:r>
              <w:t>Consider loss, theft, misdelivery, credential compromise, malware, outage, insider access, and physical exposure.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current safeguards</w:t>
            </w:r>
          </w:p>
          <w:p>
            <w:pPr>
              <w:spacing w:after="80"/>
            </w:pPr>
            <w:r>
              <w:t>Document administrative, physical, and technical controls actually in use rather than planned.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Assess gaps consistently</w:t>
            </w:r>
          </w:p>
          <w:p>
            <w:pPr>
              <w:spacing w:after="80"/>
            </w:pPr>
            <w:r>
              <w:t>Use one documented method for likelihood, impact, and priority across systems.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Assign corrective work</w:t>
            </w:r>
          </w:p>
          <w:p>
            <w:pPr>
              <w:spacing w:after="80"/>
            </w:pPr>
            <w:r>
              <w:t>Give every accepted or remediated risk an owner, action, due date, and status.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the analysis</w:t>
            </w:r>
          </w:p>
          <w:p>
            <w:pPr>
              <w:spacing w:after="80"/>
            </w:pPr>
            <w:r>
              <w:t>Keep the evidence, decisions, and follow-up so the review is reproducible later.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HHS: Security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hhs.gov/hipaa/for-professionals/securit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Small-practice security risk review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