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Superbill setup audit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issuing superbills and whenever provider, location, coding, payment, or document systems change.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 claim form, coding opinion, reimbursement promise, or client-specific benefits determination.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Identify the rendering provider</w:t>
            </w:r>
          </w:p>
          <w:p>
            <w:pPr>
              <w:spacing w:after="80"/>
            </w:pPr>
            <w:r>
              <w:t>Verify name, credential, license, NPI, tax identifier, and service location against source records.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Define the service fields</w:t>
            </w:r>
          </w:p>
          <w:p>
            <w:pPr>
              <w:spacing w:after="80"/>
            </w:pPr>
            <w:r>
              <w:t>Record which dates, procedure codes, diagnosis fields, units, fees, and payments the workflow will populate.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Separate charge from payment</w:t>
            </w:r>
          </w:p>
          <w:p>
            <w:pPr>
              <w:spacing w:after="80"/>
            </w:pPr>
            <w:r>
              <w:t>Ensure the document distinguishes billed amount, amount paid, balance, and any adjustments.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Validate coding responsibility</w:t>
            </w:r>
          </w:p>
          <w:p>
            <w:pPr>
              <w:spacing w:after="80"/>
            </w:pPr>
            <w:r>
              <w:t>Document who selects codes, what record supports them, and how corrections are handled.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Test a fictional example</w:t>
            </w:r>
          </w:p>
          <w:p>
            <w:pPr>
              <w:spacing w:after="80"/>
            </w:pPr>
            <w:r>
              <w:t>Generate a sample with no real person and check labels, alignment, totals, and legibility.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Set correction and delivery controls</w:t>
            </w:r>
          </w:p>
          <w:p>
            <w:pPr>
              <w:spacing w:after="80"/>
            </w:pPr>
            <w:r>
              <w:t>Record secure delivery, versioning, reissue, and preservation of what was supplied.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CMS: provider enrollment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IRS: recordkeeping for individuals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Privacy Rule guidance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HHS: Security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ms.gov/medicare/enrollment-renewal/providers-suppliers" TargetMode="External"/><Relationship Id="rId12" Type="http://schemas.openxmlformats.org/officeDocument/2006/relationships/hyperlink" Target="https://www.irs.gov/businesses/small-businesses-self-employed/recordkeeping" TargetMode="External"/><Relationship Id="rId13" Type="http://schemas.openxmlformats.org/officeDocument/2006/relationships/hyperlink" Target="https://www.hhs.gov/hipaa/for-professionals/privacy/index.html" TargetMode="External"/><Relationship Id="rId14" Type="http://schemas.openxmlformats.org/officeDocument/2006/relationships/hyperlink" Target="https://www.hhs.gov/hipaa/for-professionals/securit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Superbill setup audit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