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Supervision start record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the first claimed week, revisit after any employer, setting, license, or schedule change, and keep it with the Board agreement and weekly logs.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replace the BBS Supervision Agreement, Supervisor Self-Assessment, weekly logs, or Experience Verification.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the supervisor in the DCA license lookup</w:t>
            </w:r>
          </w:p>
          <w:p>
            <w:pPr>
              <w:spacing w:after="80"/>
            </w:pPr>
            <w:r>
              <w:t>Record the license type, number, current status, and the date you checked it. A directory profile or employer assurance is not the licensing record.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DCA license lookup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Ask the two-of-five questions</w:t>
            </w:r>
          </w:p>
          <w:p>
            <w:pPr>
              <w:spacing w:after="80"/>
            </w:pPr>
            <w:r>
              <w:t>Record whether the supervisor has been licensed for at least two of the last five years and practiced psychotherapy or supervised it during at least two of those years.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 Summary of Supervisor Qualifications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Name the employer relationship</w:t>
            </w:r>
          </w:p>
          <w:p>
            <w:pPr>
              <w:spacing w:after="80"/>
            </w:pPr>
            <w:r>
              <w:t>Write whether the supervisor is employed by, contracted by, or owns the employer. A privately retained supervisor with no employer relationship is a warning sign in private practice.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 FAQs for Supervisors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Name every setting where hours will be claimed</w:t>
            </w:r>
          </w:p>
          <w:p>
            <w:pPr>
              <w:spacing w:after="80"/>
            </w:pPr>
            <w:r>
              <w:t>Supervision must be planned for each work setting. A week can look compliant in the aggregate while one setting is unsupported.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 FAQs for Supervisors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Set the weekly contact plan</w:t>
            </w:r>
          </w:p>
          <w:p>
            <w:pPr>
              <w:spacing w:after="80"/>
            </w:pPr>
            <w:r>
              <w:t>Record the recurring day, format, and backup plan. More than ten direct-clinical hours in a setting triggers a second hour of direct supervisor contact that week.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 FAQs for Supervisors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Set the paperwork calendar</w:t>
            </w:r>
          </w:p>
          <w:p>
            <w:pPr>
              <w:spacing w:after="80"/>
            </w:pPr>
            <w:r>
              <w:t>Complete the BBS Supervision Agreement within 60 days, keep weekly signed logs, and plan to obtain Experience Verification when the relationship ends.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BBS Supervision Agreement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DCA license lookup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 Summary of Supervisor Qualifications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 FAQs for Supervisors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BBS Supervision Agreement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earch.dca.ca.gov/" TargetMode="External"/><Relationship Id="rId12" Type="http://schemas.openxmlformats.org/officeDocument/2006/relationships/hyperlink" Target="https://www.bbs.ca.gov/pdf/supervisor_qualifications.pdf" TargetMode="External"/><Relationship Id="rId13" Type="http://schemas.openxmlformats.org/officeDocument/2006/relationships/hyperlink" Target="https://www.bbs.ca.gov/pdf/publications/faqs_for_supervisors.pdf" TargetMode="External"/><Relationship Id="rId14" Type="http://schemas.openxmlformats.org/officeDocument/2006/relationships/hyperlink" Target="https://www.bbs.ca.gov/pdf/forms/supervision_agreem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Supervision start record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