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Supervisor change handoff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before the last meeting with an outgoing supervisor and before claiming time under the next one.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does not replace Board agreements, weekly logs, or experience-verification forms.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Set the last supported date</w:t>
            </w:r>
          </w:p>
          <w:p>
            <w:pPr>
              <w:spacing w:after="80"/>
            </w:pPr>
            <w:r>
              <w:t>Identify the final date and work setting covered by the outgoing supervisor.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LMFT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Reconcile unsigned weeks</w:t>
            </w:r>
          </w:p>
          <w:p>
            <w:pPr>
              <w:spacing w:after="80"/>
            </w:pPr>
            <w:r>
              <w:t>List every open weekly record and resolve discrepancies while the relationship is active.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LCSW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Request closeout documents</w:t>
            </w:r>
          </w:p>
          <w:p>
            <w:pPr>
              <w:spacing w:after="80"/>
            </w:pPr>
            <w:r>
              <w:t>Use the current Board forms for your registration and keep copies of what was signed.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BBS: LPCC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Verify the incoming supervisor</w:t>
            </w:r>
          </w:p>
          <w:p>
            <w:pPr>
              <w:spacing w:after="80"/>
            </w:pPr>
            <w:r>
              <w:t>Check current license status and record the date of the lookup.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DCA license lookup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Create the new agreement calendar</w:t>
            </w:r>
          </w:p>
          <w:p>
            <w:pPr>
              <w:spacing w:after="80"/>
            </w:pPr>
            <w:r>
              <w:t>Track the required agreement, assessment, and setting-specific steps from the new start date.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LMFT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Mark the unsupported gap</w:t>
            </w:r>
          </w:p>
          <w:p>
            <w:pPr>
              <w:spacing w:after="80"/>
            </w:pPr>
            <w:r>
              <w:t>Do not blur a period without qualifying supervision into either relationship.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5">
              <w:r>
                <w:rPr>
                  <w:color w:val="2C6350"/>
                  <w:u w:val="single"/>
                </w:rPr>
                <w:t>BBS: statutes, regulations, and law changes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BBS: LMFT resources and forms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BBS: LCSW resources and forms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BBS: LPCC resources and forms</w:t>
        </w:r>
      </w:hyperlink>
    </w:p>
    <w:p>
      <w:pPr>
        <w:pStyle w:val="ListBullet"/>
      </w:pPr>
      <w:hyperlink r:id="rId14">
        <w:r>
          <w:rPr>
            <w:color w:val="2C6350"/>
            <w:u w:val="single"/>
          </w:rPr>
          <w:t>DCA license lookup</w:t>
        </w:r>
      </w:hyperlink>
    </w:p>
    <w:p>
      <w:pPr>
        <w:pStyle w:val="ListBullet"/>
      </w:pPr>
      <w:hyperlink r:id="rId15">
        <w:r>
          <w:rPr>
            <w:color w:val="2C6350"/>
            <w:u w:val="single"/>
          </w:rPr>
          <w:t>BBS: statutes, regulations, and law changes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bs.ca.gov/resources/lmft.html" TargetMode="External"/><Relationship Id="rId12" Type="http://schemas.openxmlformats.org/officeDocument/2006/relationships/hyperlink" Target="https://www.bbs.ca.gov/resources/lcsw.html" TargetMode="External"/><Relationship Id="rId13" Type="http://schemas.openxmlformats.org/officeDocument/2006/relationships/hyperlink" Target="https://www.bbs.ca.gov/resources/lpcc.html" TargetMode="External"/><Relationship Id="rId14" Type="http://schemas.openxmlformats.org/officeDocument/2006/relationships/hyperlink" Target="https://search.dca.ca.gov/" TargetMode="External"/><Relationship Id="rId15" Type="http://schemas.openxmlformats.org/officeDocument/2006/relationships/hyperlink" Target="https://www.bbs.ca.gov/about/law_re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Supervisor change handoff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