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Telehealth session readiness check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starting telehealth and when the client location, platform, or emergency plan changes.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authorize practice across jurisdictions or replace clinical judgment and emergency procedures.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where each person is located</w:t>
            </w:r>
          </w:p>
          <w:p>
            <w:pPr>
              <w:spacing w:after="80"/>
            </w:pPr>
            <w:r>
              <w:t>Record the relevant locations for the session and escalate jurisdiction questions before providing care.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Verify identity and contact route</w:t>
            </w:r>
          </w:p>
          <w:p>
            <w:pPr>
              <w:spacing w:after="80"/>
            </w:pPr>
            <w:r>
              <w:t>Document the verification method and a reliable way to reconnect after interruption.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Confirm consent and modality</w:t>
            </w:r>
          </w:p>
          <w:p>
            <w:pPr>
              <w:spacing w:after="80"/>
            </w:pPr>
            <w:r>
              <w:t>Record the telehealth consent process and the technology being used.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Check privacy at both ends</w:t>
            </w:r>
          </w:p>
          <w:p>
            <w:pPr>
              <w:spacing w:after="80"/>
            </w:pPr>
            <w:r>
              <w:t>Discuss foreseeable privacy limits and agree on what to do if privacy is lost.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the local emergency route</w:t>
            </w:r>
          </w:p>
          <w:p>
            <w:pPr>
              <w:spacing w:after="80"/>
            </w:pPr>
            <w:r>
              <w:t>Record the client location, local emergency resources, and the session-specific escalation plan.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Document disruptions</w:t>
            </w:r>
          </w:p>
          <w:p>
            <w:pPr>
              <w:spacing w:after="80"/>
            </w:pPr>
            <w:r>
              <w:t>Record material failures, modality changes, and follow-up without copying clinical detail into this worksheet.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BBS: HIPAA, telehealth, advertising, and notices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BBS: HIPAA, telehealth, advertising, and notices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Security Rule guidance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bs.ca.gov/licensees/hipaa.html" TargetMode="External"/><Relationship Id="rId12" Type="http://schemas.openxmlformats.org/officeDocument/2006/relationships/hyperlink" Target="https://www.hhs.gov/hipaa/for-professionals/security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Telehealth session readiness check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