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and advertising compliance review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launch and quarterly across websites, directories, social profiles, ads, and scheduling pages.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approval of advertising, accessibility conformance, trademark use, or clinical claims.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Inventory every public surface</w:t>
            </w:r>
          </w:p>
          <w:p>
            <w:pPr>
              <w:spacing w:after="80"/>
            </w:pPr>
            <w:r>
              <w:t>List owned pages, directory profiles, social accounts, ads, booking tools, and cached or delegated profiles.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Verify names and credentials</w:t>
            </w:r>
          </w:p>
          <w:p>
            <w:pPr>
              <w:spacing w:after="80"/>
            </w:pPr>
            <w:r>
              <w:t>Compare titles, license or registration identifiers, business identity, and status with current Board records.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DCA license lookup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Review claims and testimonials</w:t>
            </w:r>
          </w:p>
          <w:p>
            <w:pPr>
              <w:spacing w:after="80"/>
            </w:pPr>
            <w:r>
              <w:t>Flag guarantees, superiority claims, specialty language, endorsements, and statements unsupported by current evidence.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required notices</w:t>
            </w:r>
          </w:p>
          <w:p>
            <w:pPr>
              <w:spacing w:after="80"/>
            </w:pPr>
            <w:r>
              <w:t>Confirm consumer, privacy, cost, contact, and other applicable notices are current and findable.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Test access and usability</w:t>
            </w:r>
          </w:p>
          <w:p>
            <w:pPr>
              <w:spacing w:after="80"/>
            </w:pPr>
            <w:r>
              <w:t>Review keyboard, contrast, labels, text alternatives, mobile layout, and accommodation contact routes.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ADA.gov: guidance for businesses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Create a stale-fact register</w:t>
            </w:r>
          </w:p>
          <w:p>
            <w:pPr>
              <w:spacing w:after="80"/>
            </w:pPr>
            <w:r>
              <w:t>Give rates, availability, locations, insurance, credentials, and policies an owner and review date.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HIPAA, telehealth, advertising, and notices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DCA license lookup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BBS: statutes, regulations, and law changes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ADA.gov: guidance for businesses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licensees/hipaa.html" TargetMode="External"/><Relationship Id="rId12" Type="http://schemas.openxmlformats.org/officeDocument/2006/relationships/hyperlink" Target="https://search.dca.ca.gov/" TargetMode="External"/><Relationship Id="rId13" Type="http://schemas.openxmlformats.org/officeDocument/2006/relationships/hyperlink" Target="https://www.bbs.ca.gov/about/law_reg.html" TargetMode="External"/><Relationship Id="rId14" Type="http://schemas.openxmlformats.org/officeDocument/2006/relationships/hyperlink" Target="https://www.ada.gov/topics/title-i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and advertising compliance review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