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associate hours audit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every week you claim experience and before asking a supervisor to sign a log.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a BBS weekly log, supervision agreement, or determination that hours qualify.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Separate each work setting</w:t>
            </w:r>
          </w:p>
          <w:p>
            <w:pPr>
              <w:spacing w:after="80"/>
            </w:pPr>
            <w:r>
              <w:t>Record hours and supervision by setting rather than combining employers into one apparently compliant week.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Classify the experience</w:t>
            </w:r>
          </w:p>
          <w:p>
            <w:pPr>
              <w:spacing w:after="80"/>
            </w:pPr>
            <w:r>
              <w:t>Use the current Board categories for your registration type; do not create a private category that cannot map to the application.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direct-clinical work</w:t>
            </w:r>
          </w:p>
          <w:p>
            <w:pPr>
              <w:spacing w:after="80"/>
            </w:pPr>
            <w:r>
              <w:t>Keep the client-contact subtotal visible and supported by the contemporaneous practice record.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LCSW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Match supervision to the week</w:t>
            </w:r>
          </w:p>
          <w:p>
            <w:pPr>
              <w:spacing w:after="80"/>
            </w:pPr>
            <w:r>
              <w:t>Record the date, format, duration, and supervisor for the contact supporting that week.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BBS: LPCC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Flag unusual weeks</w:t>
            </w:r>
          </w:p>
          <w:p>
            <w:pPr>
              <w:spacing w:after="80"/>
            </w:pPr>
            <w:r>
              <w:t>Mark absences, multiple settings, high-hour weeks, or changes for review before signature.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and preserve</w:t>
            </w:r>
          </w:p>
          <w:p>
            <w:pPr>
              <w:spacing w:after="80"/>
            </w:pPr>
            <w:r>
              <w:t>Compare your copy with the signed official log and preserve the controlling form, not only this worksheet.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LMFT resources and forms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LCSW resources and forms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BBS: LPCC resources and forms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BBS: statutes, regulations, and law changes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resources/lmft.html" TargetMode="External"/><Relationship Id="rId12" Type="http://schemas.openxmlformats.org/officeDocument/2006/relationships/hyperlink" Target="https://www.bbs.ca.gov/resources/lcsw.html" TargetMode="External"/><Relationship Id="rId13" Type="http://schemas.openxmlformats.org/officeDocument/2006/relationships/hyperlink" Target="https://www.bbs.ca.gov/resources/lpcc.html" TargetMode="External"/><Relationship Id="rId14" Type="http://schemas.openxmlformats.org/officeDocument/2006/relationships/hyperlink" Target="https://www.bbs.ca.gov/about/law_re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associate hours audit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